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  <w:gridCol w:w="5"/>
      </w:tblGrid>
      <w:tr w:rsidR="004E5769" w:rsidRPr="004E5769" w:rsidTr="004E576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9"/>
              <w:gridCol w:w="284"/>
              <w:gridCol w:w="680"/>
              <w:gridCol w:w="284"/>
              <w:gridCol w:w="2835"/>
              <w:gridCol w:w="284"/>
              <w:gridCol w:w="680"/>
              <w:gridCol w:w="6"/>
            </w:tblGrid>
            <w:tr w:rsidR="004E5769" w:rsidRPr="004E5769">
              <w:trPr>
                <w:trHeight w:val="510"/>
                <w:tblCellSpacing w:w="0" w:type="dxa"/>
              </w:trPr>
              <w:tc>
                <w:tcPr>
                  <w:tcW w:w="3799" w:type="dxa"/>
                  <w:vMerge w:val="restart"/>
                  <w:hideMark/>
                </w:tcPr>
                <w:p w:rsidR="004E5769" w:rsidRPr="004E5769" w:rsidRDefault="004E5769" w:rsidP="004E5769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4E5769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РОССИЙСКАЯ ФЕДЕРАЦИЯ</w:t>
                  </w:r>
                  <w:r w:rsidRPr="004E5769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48E59360" wp14:editId="2A53B746">
                        <wp:extent cx="895350" cy="1047750"/>
                        <wp:effectExtent l="0" t="0" r="0" b="0"/>
                        <wp:docPr id="3" name="Рисунок 3" descr="http://bd.patent.su/2340000-2340999/images/but2/rfp_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d.patent.su/2340000-2340999/images/but2/rfp_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5769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>ФЕДЕРАЛЬНАЯ СЛУЖБА</w:t>
                  </w:r>
                  <w:r w:rsidRPr="004E5769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>ПО ИНТЕЛЛЕКТУАЛЬНОЙ СОБСТВЕННОСТИ,</w:t>
                  </w:r>
                  <w:r w:rsidRPr="004E5769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>ПАТЕНТАМ И ТОВАРНЫМ ЗНАКАМ</w:t>
                  </w:r>
                </w:p>
              </w:tc>
              <w:tc>
                <w:tcPr>
                  <w:tcW w:w="284" w:type="dxa"/>
                  <w:hideMark/>
                </w:tcPr>
                <w:p w:rsidR="004E5769" w:rsidRPr="004E5769" w:rsidRDefault="004E5769" w:rsidP="004E5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E576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(19)</w:t>
                  </w:r>
                </w:p>
              </w:tc>
              <w:tc>
                <w:tcPr>
                  <w:tcW w:w="680" w:type="dxa"/>
                  <w:hideMark/>
                </w:tcPr>
                <w:p w:rsidR="004E5769" w:rsidRPr="004E5769" w:rsidRDefault="004E5769" w:rsidP="004E5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E576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RU</w:t>
                  </w:r>
                </w:p>
              </w:tc>
              <w:tc>
                <w:tcPr>
                  <w:tcW w:w="284" w:type="dxa"/>
                  <w:hideMark/>
                </w:tcPr>
                <w:p w:rsidR="004E5769" w:rsidRPr="004E5769" w:rsidRDefault="004E5769" w:rsidP="004E5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E576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(11)</w:t>
                  </w:r>
                </w:p>
              </w:tc>
              <w:tc>
                <w:tcPr>
                  <w:tcW w:w="2835" w:type="dxa"/>
                  <w:hideMark/>
                </w:tcPr>
                <w:p w:rsidR="004E5769" w:rsidRPr="004E5769" w:rsidRDefault="004E5769" w:rsidP="004E5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bookmarkStart w:id="0" w:name="_GoBack"/>
                  <w:r w:rsidRPr="00573502">
                    <w:rPr>
                      <w:rFonts w:ascii="Times New Roman" w:eastAsia="Times New Roman" w:hAnsi="Times New Roman" w:cs="Times New Roman"/>
                      <w:sz w:val="28"/>
                      <w:szCs w:val="17"/>
                      <w:lang w:eastAsia="ru-RU"/>
                    </w:rPr>
                    <w:t>2340372</w:t>
                  </w:r>
                  <w:bookmarkEnd w:id="0"/>
                </w:p>
              </w:tc>
              <w:tc>
                <w:tcPr>
                  <w:tcW w:w="284" w:type="dxa"/>
                  <w:hideMark/>
                </w:tcPr>
                <w:p w:rsidR="004E5769" w:rsidRPr="004E5769" w:rsidRDefault="004E5769" w:rsidP="004E5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E576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(13)</w:t>
                  </w:r>
                </w:p>
              </w:tc>
              <w:tc>
                <w:tcPr>
                  <w:tcW w:w="680" w:type="dxa"/>
                  <w:hideMark/>
                </w:tcPr>
                <w:p w:rsidR="004E5769" w:rsidRPr="004E5769" w:rsidRDefault="004E5769" w:rsidP="004E5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E576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C2</w:t>
                  </w:r>
                </w:p>
              </w:tc>
              <w:tc>
                <w:tcPr>
                  <w:tcW w:w="0" w:type="auto"/>
                  <w:hideMark/>
                </w:tcPr>
                <w:p w:rsidR="004E5769" w:rsidRPr="004E5769" w:rsidRDefault="004E5769" w:rsidP="004E5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E5769" w:rsidRPr="00573502">
              <w:trPr>
                <w:trHeight w:val="2438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E5769" w:rsidRPr="004E5769" w:rsidRDefault="004E5769" w:rsidP="004E5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7"/>
                  <w:hideMark/>
                </w:tcPr>
                <w:p w:rsidR="004E5769" w:rsidRPr="004E5769" w:rsidRDefault="004E5769" w:rsidP="004E5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en-US" w:eastAsia="ru-RU"/>
                    </w:rPr>
                  </w:pPr>
                  <w:r w:rsidRPr="004E576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en-US" w:eastAsia="ru-RU"/>
                    </w:rPr>
                    <w:t>(51)  </w:t>
                  </w:r>
                  <w:r w:rsidRPr="004E576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МПК</w:t>
                  </w:r>
                  <w:r w:rsidRPr="004E576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en-US" w:eastAsia="ru-RU"/>
                    </w:rPr>
                    <w:t xml:space="preserve"> </w:t>
                  </w:r>
                </w:p>
                <w:p w:rsidR="004E5769" w:rsidRPr="004E5769" w:rsidRDefault="004E5769" w:rsidP="004E5769">
                  <w:pPr>
                    <w:spacing w:after="100" w:afterAutospacing="1" w:line="284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4E57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szCs w:val="21"/>
                      <w:lang w:val="en-US" w:eastAsia="ru-RU"/>
                    </w:rPr>
                    <w:t>A61P31/06</w:t>
                  </w:r>
                  <w:r w:rsidRPr="004E576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>   (2006.01)</w:t>
                  </w:r>
                  <w:r w:rsidRPr="004E576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br/>
                  </w:r>
                  <w:r w:rsidRPr="004E57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szCs w:val="21"/>
                      <w:lang w:val="en-US" w:eastAsia="ru-RU"/>
                    </w:rPr>
                    <w:t>A61K36/76</w:t>
                  </w:r>
                  <w:r w:rsidRPr="004E576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>   (2006.01)</w:t>
                  </w:r>
                  <w:r w:rsidRPr="004E576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br/>
                  </w:r>
                  <w:r w:rsidRPr="004E57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szCs w:val="21"/>
                      <w:lang w:val="en-US" w:eastAsia="ru-RU"/>
                    </w:rPr>
                    <w:t>A61K36/185</w:t>
                  </w:r>
                  <w:r w:rsidRPr="004E576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>   (2006.01)</w:t>
                  </w:r>
                  <w:r w:rsidRPr="004E576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br/>
                  </w:r>
                  <w:r w:rsidRPr="004E57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szCs w:val="21"/>
                      <w:lang w:val="en-US" w:eastAsia="ru-RU"/>
                    </w:rPr>
                    <w:t>A61K35/08</w:t>
                  </w:r>
                  <w:r w:rsidRPr="004E576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  <w:t>   (2006.01)</w:t>
                  </w:r>
                </w:p>
              </w:tc>
            </w:tr>
            <w:tr w:rsidR="004E5769" w:rsidRPr="004E5769">
              <w:trPr>
                <w:tblCellSpacing w:w="0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4E5769" w:rsidRPr="004E5769" w:rsidRDefault="004E5769" w:rsidP="004E5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E576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(12) </w:t>
                  </w:r>
                  <w:r w:rsidRPr="004E57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ОПИСАНИЕ ИЗОБРЕТЕНИЯ К ПАТЕНТУ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2"/>
                  </w:tblGrid>
                  <w:tr w:rsidR="004E5769" w:rsidRPr="004E57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769" w:rsidRPr="004E5769" w:rsidRDefault="004E5769" w:rsidP="004E57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E576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Статус: по данным на 08.10.2010 - действует</w:t>
                        </w:r>
                      </w:p>
                    </w:tc>
                  </w:tr>
                </w:tbl>
                <w:p w:rsidR="004E5769" w:rsidRPr="004E5769" w:rsidRDefault="004E5769" w:rsidP="004E5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4E5769" w:rsidRPr="004E5769" w:rsidRDefault="004E5769" w:rsidP="004E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5769" w:rsidRPr="004E5769" w:rsidRDefault="004E5769" w:rsidP="004E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769" w:rsidRPr="004E5769" w:rsidTr="004E576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180" w:rightFromText="180" w:vertAnchor="text" w:horzAnchor="margin" w:tblpX="-5812" w:tblpY="-4790"/>
              <w:tblOverlap w:val="never"/>
              <w:tblW w:w="1070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8"/>
              <w:gridCol w:w="6025"/>
            </w:tblGrid>
            <w:tr w:rsidR="004E5769" w:rsidRPr="004E5769" w:rsidTr="004E5769">
              <w:tc>
                <w:tcPr>
                  <w:tcW w:w="4678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E5769" w:rsidRPr="004E5769" w:rsidRDefault="004E5769" w:rsidP="000C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(21), (22) Заявка: </w:t>
                  </w:r>
                  <w:r w:rsidRPr="004E5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2006127776/14, 31.07.2006</w:t>
                  </w:r>
                </w:p>
                <w:p w:rsidR="004E5769" w:rsidRPr="004E5769" w:rsidRDefault="004E5769" w:rsidP="000C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(24) Дата начала отсчета срока действия патента:</w:t>
                  </w:r>
                  <w:r w:rsidRPr="004E5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E5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31.07.2006</w:t>
                  </w:r>
                </w:p>
                <w:p w:rsidR="004E5769" w:rsidRPr="004E5769" w:rsidRDefault="004E5769" w:rsidP="000C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(43) Дата публикации заявки: </w:t>
                  </w:r>
                  <w:r w:rsidRPr="004E5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10.02.2008</w:t>
                  </w:r>
                </w:p>
                <w:p w:rsidR="004E5769" w:rsidRPr="004E5769" w:rsidRDefault="004E5769" w:rsidP="000C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(46) Опубликовано: </w:t>
                  </w:r>
                  <w:r w:rsidRPr="004E5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10.12.2008</w:t>
                  </w:r>
                </w:p>
                <w:p w:rsidR="004E5769" w:rsidRPr="004E5769" w:rsidRDefault="004E5769" w:rsidP="000C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4E5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(56) Список документов, цитированных в отчете о</w:t>
                  </w:r>
                  <w:r w:rsidRPr="004E5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поиске: </w:t>
                  </w:r>
                  <w:r w:rsidRPr="004E5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RU 2050855, 27.12.2005. RU 2210379, 27.12.2003. CN 1256131, 14.06.2000. СТРЕЛИС А.К. К вопросу о коррекции медикаментозной терапии туберкулеза у больных хроническим описторхозом // IV Всесоюзный съезд гастроэнтерологов, 1990, т.2, с.728-729. </w:t>
                  </w:r>
                  <w:r w:rsidRPr="004E5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FAUSTOVA N.M. et al. Antibacterial activity of aspen bark extracts against some </w:t>
                  </w:r>
                  <w:proofErr w:type="spellStart"/>
                  <w:r w:rsidRPr="004E5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pneumotropic</w:t>
                  </w:r>
                  <w:proofErr w:type="spellEnd"/>
                  <w:r w:rsidRPr="004E5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microorganisms</w:t>
                  </w:r>
                </w:p>
                <w:p w:rsidR="004E5769" w:rsidRPr="004E5769" w:rsidRDefault="004E5769" w:rsidP="000C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для переписки:</w:t>
                  </w:r>
                  <w:r w:rsidRPr="004E5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E5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634021, </w:t>
                  </w:r>
                  <w:proofErr w:type="spellStart"/>
                  <w:r w:rsidRPr="004E5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4E5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4E5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омск</w:t>
                  </w:r>
                  <w:proofErr w:type="spellEnd"/>
                  <w:r w:rsidRPr="004E5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 пр. Академический, 3, ООО "Биолит"</w:t>
                  </w:r>
                </w:p>
              </w:tc>
              <w:tc>
                <w:tcPr>
                  <w:tcW w:w="6025" w:type="dxa"/>
                  <w:tcBorders>
                    <w:top w:val="single" w:sz="6" w:space="0" w:color="000000"/>
                    <w:bottom w:val="single" w:sz="6" w:space="0" w:color="000000"/>
                  </w:tcBorders>
                  <w:hideMark/>
                </w:tcPr>
                <w:p w:rsidR="004E5769" w:rsidRPr="004E5769" w:rsidRDefault="004E5769" w:rsidP="000C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(72) Авто</w:t>
                  </w:r>
                  <w:proofErr w:type="gramStart"/>
                  <w:r w:rsidRPr="004E5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р(</w:t>
                  </w:r>
                  <w:proofErr w:type="gramEnd"/>
                  <w:r w:rsidRPr="004E5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ы):</w:t>
                  </w:r>
                  <w:r w:rsidRPr="004E5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E5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Бычкова Наталия </w:t>
                  </w:r>
                  <w:proofErr w:type="spellStart"/>
                  <w:r w:rsidRPr="004E5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Куртовна</w:t>
                  </w:r>
                  <w:proofErr w:type="spellEnd"/>
                  <w:r w:rsidRPr="004E5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(RU),</w:t>
                  </w:r>
                  <w:r w:rsidRPr="004E5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Буркова Валентина Николаевна (RU),</w:t>
                  </w:r>
                  <w:r w:rsidRPr="004E5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4E5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Стрелис</w:t>
                  </w:r>
                  <w:proofErr w:type="spellEnd"/>
                  <w:r w:rsidRPr="004E5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5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Айвар</w:t>
                  </w:r>
                  <w:proofErr w:type="spellEnd"/>
                  <w:r w:rsidRPr="004E5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Карлович (RU),</w:t>
                  </w:r>
                  <w:r w:rsidRPr="004E5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Степанова Екатерина Петровна (RU)</w:t>
                  </w:r>
                </w:p>
                <w:p w:rsidR="004E5769" w:rsidRPr="004E5769" w:rsidRDefault="004E5769" w:rsidP="000C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(73) Патентообладател</w:t>
                  </w:r>
                  <w:proofErr w:type="gramStart"/>
                  <w:r w:rsidRPr="004E5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ь(</w:t>
                  </w:r>
                  <w:proofErr w:type="gramEnd"/>
                  <w:r w:rsidRPr="004E5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и):</w:t>
                  </w:r>
                  <w:r w:rsidRPr="004E5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E57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Общество с ограниченной ответственностью "Биолит" (RU)</w:t>
                  </w:r>
                </w:p>
              </w:tc>
            </w:tr>
          </w:tbl>
          <w:p w:rsidR="004E5769" w:rsidRPr="004E5769" w:rsidRDefault="004E5769" w:rsidP="004E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5769" w:rsidRPr="004E5769" w:rsidRDefault="004E5769" w:rsidP="004E5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5611" w:rsidRDefault="00D15611"/>
    <w:p w:rsidR="004E5769" w:rsidRPr="004E5769" w:rsidRDefault="004E5769" w:rsidP="004E5769">
      <w:pPr>
        <w:spacing w:before="113" w:after="113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4E576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(54) </w:t>
      </w:r>
      <w:r w:rsidRPr="004E57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СПОСОБ ЛЕЧЕНИЯ ТУБЕРКУЛЕЗА ЛЕГКИХ</w:t>
      </w:r>
    </w:p>
    <w:p w:rsidR="004E5769" w:rsidRPr="004E5769" w:rsidRDefault="004E5769" w:rsidP="004E5769">
      <w:pPr>
        <w:spacing w:before="57" w:after="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(57) Реферат:</w:t>
      </w:r>
    </w:p>
    <w:p w:rsidR="004E5769" w:rsidRPr="004E5769" w:rsidRDefault="004E5769" w:rsidP="004E5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Изобретение относится к медицине, а именно к фтизиатрии, и может быть использовано для лечения инфильтративного и диссеминированного туберкулеза легких. Для этого проводят химиотерапию, предусматривающую введение препаратов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изониазида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рифампицина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пиразинамида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этамбутола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стрептомицина. Дополнительно назначают растительный препарат «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Популин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». Изобретение позволяет повысить эффективность лечения и уменьшить побочные эффекты химиотерапии.</w:t>
      </w:r>
    </w:p>
    <w:p w:rsidR="004E5769" w:rsidRPr="004E5769" w:rsidRDefault="004E5769" w:rsidP="004E5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E57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(56) (</w:t>
      </w:r>
      <w:proofErr w:type="gram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</w:t>
      </w:r>
      <w:proofErr w:type="gramEnd"/>
      <w:r w:rsidRPr="004E57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):</w:t>
      </w:r>
    </w:p>
    <w:p w:rsidR="004E5769" w:rsidRPr="004E5769" w:rsidRDefault="004E5769" w:rsidP="004E5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CLASS="b560m"/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Zh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Mikrobiol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Epidemiol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Immunobiol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2006 May-</w:t>
      </w:r>
      <w:proofErr w:type="gramStart"/>
      <w:r w:rsidRPr="004E57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Jun;</w:t>
      </w:r>
      <w:proofErr w:type="gramEnd"/>
      <w:r w:rsidRPr="004E57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(3), p.3-7, abstract. HU Z. et al. Herb-drug interactions: a literature review / Drugs. </w:t>
      </w:r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2005; 65(9), p.1239-82,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abstract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769" w:rsidRPr="004E5769" w:rsidRDefault="004E5769" w:rsidP="004E5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Изобретение относится к медицине и может быть использовано во фтизиатрии. В настоящее время туберкулез представляет собой серьезную социальную и медицинскую проблему. По данным ВОЗ в мире ежегодно регистрируется около 8-10 </w:t>
      </w:r>
      <w:proofErr w:type="gram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 туберкулеза (ТБ) и 3 млн случаев смерти от него. ТБ становится основной причиной смерти ВИЧ-инфицированных. Россия входит в число 22 государств мира, на долю которых приходится 80% мирового ТБ. В последние 10 лет ежегодный прирост заболеваемости в РФ составляет 18,2%, смертности - 12,5%.</w:t>
      </w:r>
    </w:p>
    <w:p w:rsidR="004E5769" w:rsidRPr="004E5769" w:rsidRDefault="004E5769" w:rsidP="004E5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Известен способ лечения активного ТБ легких - специфическая терапия по I категории согласно данным ВОЗ. Данный способ лечения включает назначение противотуберкулезных препаратов и антибиотиков, эффективных при лечении ТБ. К жизненно важным препаратам относятся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изониазид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этамбутол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стрептомицин,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рифампицин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они </w:t>
      </w:r>
      <w:proofErr w:type="gram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 широким спектром побочных эффектов и к ним быстро развивается</w:t>
      </w:r>
      <w:proofErr w:type="gram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устойчивость микобактерий. </w:t>
      </w:r>
      <w:proofErr w:type="gram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изониазид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всегда применяемый для лечения туберкулеза, его аналоги (и др.) и препараты этой группы (производные изоникотиновой кислоты) всегда вызывают головную боль, головокружение, тошноту, рвоту, болевые ощущения в области сердца, кожные аллергические реакции, эйфорию, нарушения сна, иногда психозы, появление периферических невритов с атрофией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мыщц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параличей конечностей и др. У женщин могут развиваться маточные кровотечения, у мужчин - гинекомастия.</w:t>
      </w:r>
      <w:proofErr w:type="gram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больных эпилепсией учащаются припадки. Часто из-за побочных эффектов врачам приходится снижать дозы препаратов, что задерживает процесс выздоровления. Противопоказания для этой группы препаратов: выраженный атеросклероз, нарушения функции печени и почек, перенесенный в анамнезе полиомиелит, эпилепсия и склонность к судорогам. </w:t>
      </w:r>
      <w:proofErr w:type="gram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беременности, ишемической болезни сердца, легочно-сердечной недостаточности, псориазе, бронхиальной астме, заболеваниях нервной системы, экземе, микседеме препараты этой группы следует назначать в более низких дозах, не более 10 мг/кг массы тела больного (в норме - 5-15 мг/кг) (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М.Д.Машковский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«Лекарственные средства», 2000 г. (1).</w:t>
      </w:r>
      <w:proofErr w:type="gramEnd"/>
    </w:p>
    <w:p w:rsidR="004E5769" w:rsidRPr="004E5769" w:rsidRDefault="004E5769" w:rsidP="004E5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Побочные эффекты отмечаются у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этамбутола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: ухудшение остроты зрения, усиление кашля, усиление отхождения мокроты, диспепсические явления, головокружение, парестезии, кожная сыпь, депрессия. Противопоказаниями к назначению препарата являются сахарный диабет, воспаление зрительного нерва и глаза, беременность.</w:t>
      </w:r>
    </w:p>
    <w:p w:rsidR="004E5769" w:rsidRPr="004E5769" w:rsidRDefault="004E5769" w:rsidP="004E5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противотуберкулезных антибиотиков, самым старым и распространенным является стрептомицин. К стрептомицину, применяющемуся 50 лет во фтизиатрии, многие штаммы микобактерий туберкулеза устойчивы. Последнее обусловило его использование только в комплексной терапии ТБ. При лечении туберкулеза этим препаратом могут отмечаться различные токсические и аллергические реакции: лекарственная лихорадка, дерматит, головокружение, головная боль, сердцебиение, гематурия, альбуминурия, диспепсия, выраженный дисбактериоз кишечника. Наиболее серьезный побочный эффект - поражение слухового нерва, что может привести к глухоте; блокада нервно-мышечной проводимости, остановка дыхания. </w:t>
      </w:r>
      <w:proofErr w:type="gram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Противопоказания к назначению стрептомицина: заболевания слухового и вестибулярного аппаратов, связанные с воспалением слухового нерва, выраженные проявления сердечно-сосудистой и почечной недостаточности, нарушения мозгового кровообращения, облитерирующий эндартериит, миастения.</w:t>
      </w:r>
      <w:proofErr w:type="gram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Рифампицин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(наиболее известный синоним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бенемицин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Монотерапия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туберкулеза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рифампицином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сопровождается развитием устойчивости к нему возбудителя, побочные эффекты: аллергические реакции, диспепсические явления, </w:t>
      </w:r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дисфункции печени и поджелудочной железы, лейкопения. </w:t>
      </w:r>
      <w:proofErr w:type="spellStart"/>
      <w:proofErr w:type="gram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Рифампицин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противопоказан больным гепатитом, а также детям грудного возраста и беременным (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М.Д.Машковский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«Лекарственные средства», 2000 г. (1).</w:t>
      </w:r>
      <w:proofErr w:type="gramEnd"/>
    </w:p>
    <w:p w:rsidR="004E5769" w:rsidRPr="004E5769" w:rsidRDefault="004E5769" w:rsidP="004E5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противотуберкулезные антибиотики -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циклосерин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флоримицин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рифабутин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обладают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туберкулостатическим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действием (тормозят рост туберкулезной палочки). Их назначают только в тех случаях, когда к другим препаратам развилась устойчивость и только в сочетании с вышеперечисленными противотуберкулезными препаратами, если к ним еще сохранена чувствительность. Эти препараты имеют также ряд побочных эффектов: токсическое действие на центральную нервную систему, в том числе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ототоксический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эффект, аллергические реакции, нарушение функции почек,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гепатотоксическое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действие, диспепсические расстройства, противопоказания к применению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циклосерина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заболевания центральной нервной системы, нарушения психики;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рифабутина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беременность и период лактации;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флоримицина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поражение слухового нерва и нарушение функции почек.</w:t>
      </w:r>
    </w:p>
    <w:p w:rsidR="004E5769" w:rsidRPr="004E5769" w:rsidRDefault="004E5769" w:rsidP="004E5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развития устойчивости к этим препаратам назначают препараты резерва -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канамицин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амикацин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этионамид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протионамид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препараты группы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фторхинолонов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Указанные антибиотики широко применяются в терапии различных воспалительных заболеваний и не относятся к группе противотуберкулезных. Данные антибиотики также имеют широкий спектр побочных эффектов и противопоказаний. Так,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канамицин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вызывать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ототоксическое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нефротоксическое действие, аллергические реакции, нервно-мышечные блокады. Беременным, новорожденным и детям первого месяца жизни применять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канамицин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рекомендуют только по жизненным показаниям. Аналогичный спектр побочных эффектов и противопоказаний у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амикоцина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Этионамид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очень </w:t>
      </w:r>
      <w:proofErr w:type="gram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схожий</w:t>
      </w:r>
      <w:proofErr w:type="gram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протионамид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эффективны, чем препараты, относящиеся к «жизненно важным». Они также вызывают побочные эффекты: диспепсические расстройства, кожные высыпания, головокружение, тахикардию, слабость, парестезии.</w:t>
      </w:r>
    </w:p>
    <w:p w:rsidR="004E5769" w:rsidRPr="004E5769" w:rsidRDefault="004E5769" w:rsidP="004E5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препаратов (эффективность, побочные эффекты, противопоказания) приведены в справочнике. Вышеизложенным обусловлены хорошо известные причины «расцвета» туберкулеза в России. </w:t>
      </w:r>
      <w:proofErr w:type="gram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отсутствуют новые препараты и программы лечения ТБ (Перельман М.И. с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соавт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Туберкулез. </w:t>
      </w:r>
      <w:proofErr w:type="gram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М., Медицина, 1990 г.).</w:t>
      </w:r>
      <w:proofErr w:type="gramEnd"/>
    </w:p>
    <w:p w:rsidR="004E5769" w:rsidRPr="004E5769" w:rsidRDefault="004E5769" w:rsidP="004E5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Известен способ лечения инфильтративного туберкулеза, при котором к традиционному способу химиотерапии подключали растительный препарат - экстракт пихтовой лапки (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Стрелис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А.К.;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Костеша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Н.Я.; Губина В.А.; Андреев И.Г. Способ патогенетического лечения больных инфильтративным туберкулезом легких.</w:t>
      </w:r>
      <w:proofErr w:type="gram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Патент РФ №2050855,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. 27.12.1995, приоритет от 4.02.1992).</w:t>
      </w:r>
      <w:proofErr w:type="gram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Экстракт пихтовой лапки - препарат растительного происхождения, который содержит фитонциды,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каротиноиды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витамины групп</w:t>
      </w:r>
      <w:proofErr w:type="gram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С, токоферол, хлорофиллы, различные микроэлементы. Экстракт пихтовой лапки назначался больным на фоне традиционной химиотерапии. Экстракт назначался по 1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ожке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30 мин до еды 3-4 раза в день на протяжении 30-40 дней. После перерыва в 10-14 дней курс лечения повторялся. Комплексное воздействие именно перечисленных компонентов обеспечивает благоприятные сдвиги иммунологических показателей, оказывает стимулирующее влияние в целом на организм больного туберкулезом. Пероральный прием препарата оказывает нормализующее влияние на функцию желудочно-кишечного тракта, что подтверждается способностью устранять побочное влияние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туберкулостатиков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по данным авторов данный препарат оказывает влияние на положительную динамику заболевания как биостимулятор, повышая иммунологическую реактивность организма. Об этом говорит исчезновение побочных эффектов от противотуберкулезных препаратов, повышение клеточного иммунитета, нормализация </w:t>
      </w:r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уровня В-лимфоцитов крови. Данный способ лечения инфильтративного ТБ нами выбран в качестве прототипа.</w:t>
      </w:r>
    </w:p>
    <w:p w:rsidR="004E5769" w:rsidRPr="004E5769" w:rsidRDefault="004E5769" w:rsidP="004E5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изобретения - повышение эффективности лечения больных активным инфильтративным и диссеминированным туберкулезом легких.</w:t>
      </w:r>
    </w:p>
    <w:p w:rsidR="004E5769" w:rsidRPr="004E5769" w:rsidRDefault="004E5769" w:rsidP="004E5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предлагаемом способе лечения инфильтративного и диссеминированного туберкулеза легких при проведении лечения по I режиму химиотерапии, включающему препараты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изониазид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рифампицин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пиразинамид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этамбутол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стрептомицин, назначают дополнительно растительный препарат «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Популин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E5769" w:rsidRPr="004E5769" w:rsidRDefault="004E5769" w:rsidP="004E5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 в предлагаемом способе является то, что к лечению данной патологии подключается растительный нетоксичный препарат «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Популин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Популин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выпущенный фирмой «Биолит» (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содержит концентрированный водный экстракт коры осины, травы солянки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холмовой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сухой концентрат минеральной воды озера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Проведенные ранее исследования (Бычкова Н.К.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Противоописторхозные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коры осины.</w:t>
      </w:r>
      <w:proofErr w:type="gram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... канд. мед</w:t>
      </w:r>
      <w:proofErr w:type="gram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аук. - Томск, 1990; Бычкова Н.К. Фитотерапия заболеваний желчевыводящей системы у детей.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</w:t>
      </w:r>
      <w:proofErr w:type="gram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окт.мед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наук.- </w:t>
      </w:r>
      <w:proofErr w:type="gram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Томск, 1999) показали, что экстракт коры осины, содержащийся в препарате, обладает выраженным противопаразитарным эффектом и первоначально был рекомендован как препарат для лечения острого и хронического описторхоза.</w:t>
      </w:r>
      <w:proofErr w:type="gramEnd"/>
    </w:p>
    <w:p w:rsidR="004E5769" w:rsidRPr="004E5769" w:rsidRDefault="004E5769" w:rsidP="004E5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было установлено, что препарат «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Популин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эффективным антибактериальным и противовирусным препаратом, обладает общеукрепляющим, противовоспалительным, жаропонижающим и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гепатопротективным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эффектом.</w:t>
      </w:r>
    </w:p>
    <w:p w:rsidR="004E5769" w:rsidRPr="004E5769" w:rsidRDefault="004E5769" w:rsidP="004E5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экспериментальных условиях доказана противотуберкулезная активность экстракта коры осины (Буркова В.Н., Бычкова Н.К. Противотуберкулезное средство.</w:t>
      </w:r>
      <w:proofErr w:type="gram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Патент РФ №2210379,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. 27.12.2003, приоритет от 13.05.2002).</w:t>
      </w:r>
      <w:proofErr w:type="gramEnd"/>
    </w:p>
    <w:p w:rsidR="004E5769" w:rsidRPr="004E5769" w:rsidRDefault="004E5769" w:rsidP="004E5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признаки проявили в заявленной совокупности новые свойства. Идентичной совокупности признаков в известных решениях не обнаружено.</w:t>
      </w:r>
    </w:p>
    <w:p w:rsidR="004E5769" w:rsidRPr="004E5769" w:rsidRDefault="004E5769" w:rsidP="004E5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осуществляют следующим образом. Больным (30 чел.) с активным туберкулезом легких наряду с традиционными противотуберкулезными препаратами (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изониазид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рифампицин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пиразинамид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стрептомицин) назначают препарат «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Популин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дозе 1 чайная ложка 3 раза в день после еды в течение 2 месяцев. Все больные хорошо переносят комплексную терапию в сочетании с препаратом «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Популин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побочных эффектов не отмечалось.</w:t>
      </w:r>
    </w:p>
    <w:p w:rsidR="004E5769" w:rsidRPr="004E5769" w:rsidRDefault="004E5769" w:rsidP="004E5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оценки состояния больных учитывались следующие данные (до назначения и после назначения курса препарата «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Популин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»): жалобы, данные объективного осмотра, общий анализ крови, общий анализ мочи, биохимия крови, иммунологическое исследование крови, микроскопия мокроты, рентгенологическое обследование легких, бронхоскопия.</w:t>
      </w:r>
    </w:p>
    <w:p w:rsidR="004E5769" w:rsidRPr="004E5769" w:rsidRDefault="004E5769" w:rsidP="004E5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курса комплексного лечения в основной группе больных в 59,4% случаях отмечались симптомы интоксикации (жалобы на слабость, снижение аппетита, потеря массы тела, повышение температуры), жалобы на кашель у 66% больных, одышку 39,4% больных, жалобы со стороны желудочно-кишечного тракта отмечались у 26,4% пациентов. При исследовании периферической крови были выявлены характерные для туберкулезного процесса изменения: значительное повышение СОЭ до 40 мм/час, </w:t>
      </w:r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умеренный лейкоцитоз,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лимфопения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биохимическом исследовании крови были выявлены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диспротеинемия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повышения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0358DF" wp14:editId="64753907">
            <wp:extent cx="76200" cy="257175"/>
            <wp:effectExtent l="0" t="0" r="0" b="9525"/>
            <wp:docPr id="2" name="Рисунок 2" descr="http://bd.patent.su/2340000-2340999/images/chr/9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d.patent.su/2340000-2340999/images/chr/94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proofErr w:type="gramStart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19AF78" wp14:editId="746D2D9C">
            <wp:extent cx="104775" cy="257175"/>
            <wp:effectExtent l="0" t="0" r="9525" b="9525"/>
            <wp:docPr id="1" name="Рисунок 1" descr="http://bd.patent.su/2340000-2340999/images/chr/9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d.patent.su/2340000-2340999/images/chr/94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глобулинов, повышение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общевоспалительных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белков. На фоне комплексной терапии (противотуберкулезные препараты и препарат «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Популин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практически у всех больных уменьшались симптомы интоксикации. Спустя 2 </w:t>
      </w:r>
      <w:proofErr w:type="spellStart"/>
      <w:proofErr w:type="gram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proofErr w:type="gram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курса комплексной терапии симптомы интоксикации исчезли или значительно уменьшились в 90% случаев. Кашель оставался у 5% больных. Во всех случаях исчезла или существенно уменьшилась одышка. Жалобы со стороны органов пищеварения больные не предъявляли, у 2 человек отмечались артралгии.</w:t>
      </w:r>
    </w:p>
    <w:p w:rsidR="004E5769" w:rsidRPr="004E5769" w:rsidRDefault="004E5769" w:rsidP="004E5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больных основной группы у больных в контрольной группе (лечение проводилось только противотуберкулезными препаратами) положительная динамика в течени</w:t>
      </w:r>
      <w:proofErr w:type="gram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туберкулезного процесса была менее выраженной. Так, в контрольную группу были включены больные, идентичные по характеру патологии, симптоматике заболевания. Исчезновение симптомов интоксикации проходило более медленными темпами, к концу курса интоксикация исчезла или значительно уменьшилась в 80% случаев. Кашель имел место в 10% случаев. Одышка присутствовала также в 10% случаев. Жалобы на органы пищеварения отмечались у 20% больных, у многих из них имела место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гепатомегалия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контрольной группе артралгии имели место у 6 больных. Клиническое улучшение по данным объективного и лабораторно-инструментального исследования было более выраженным в основной группе пациентов, получавших препарат «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Популин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E5769" w:rsidRPr="004E5769" w:rsidRDefault="004E5769" w:rsidP="004E5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Характерна аналогичная картина по динамике клинического улучшения со стороны лабораторных и инструментальных показателей. </w:t>
      </w:r>
      <w:proofErr w:type="gram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3-кратного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бакисследования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мокроты в основной группе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абацилллирование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отмечалось в 86,6% случаев, в контрольной - в 66%.</w:t>
      </w:r>
      <w:proofErr w:type="gramEnd"/>
    </w:p>
    <w:p w:rsidR="004E5769" w:rsidRPr="004E5769" w:rsidRDefault="004E5769" w:rsidP="004E5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предложенный способ позволяет повысить эффективность лечения активного ТБ легких, особенно инфильтративного и диссеминированного туберкулеза легких.</w:t>
      </w:r>
    </w:p>
    <w:p w:rsidR="004E5769" w:rsidRPr="004E5769" w:rsidRDefault="004E5769" w:rsidP="004E5769">
      <w:pPr>
        <w:spacing w:before="113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Формула изобретения</w:t>
      </w:r>
    </w:p>
    <w:p w:rsidR="004E5769" w:rsidRDefault="004E5769" w:rsidP="004E5769"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лечения инфильтративного или диссеминированного туберкулеза легких, отличающийся тем, что при проведении химиотерапии, предусматривающей введение препаратов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изониазида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рифампицина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пиразинамида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этамбутола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стрептомицина, дополнительно вводят препарат «</w:t>
      </w:r>
      <w:proofErr w:type="spellStart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Популин</w:t>
      </w:r>
      <w:proofErr w:type="spellEnd"/>
      <w:r w:rsidRPr="004E576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sectPr w:rsidR="004E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8D"/>
    <w:rsid w:val="0038408D"/>
    <w:rsid w:val="004E5769"/>
    <w:rsid w:val="00573502"/>
    <w:rsid w:val="00D1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">
    <w:name w:val="lt"/>
    <w:basedOn w:val="a"/>
    <w:rsid w:val="004E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">
    <w:name w:val="rt"/>
    <w:basedOn w:val="a"/>
    <w:rsid w:val="004E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x">
    <w:name w:val="ptx"/>
    <w:basedOn w:val="a"/>
    <w:rsid w:val="004E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560t">
    <w:name w:val="b560t"/>
    <w:basedOn w:val="a"/>
    <w:rsid w:val="004E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x2">
    <w:name w:val="ptx2"/>
    <w:basedOn w:val="a"/>
    <w:rsid w:val="004E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">
    <w:name w:val="lt"/>
    <w:basedOn w:val="a"/>
    <w:rsid w:val="004E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">
    <w:name w:val="rt"/>
    <w:basedOn w:val="a"/>
    <w:rsid w:val="004E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x">
    <w:name w:val="ptx"/>
    <w:basedOn w:val="a"/>
    <w:rsid w:val="004E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560t">
    <w:name w:val="b560t"/>
    <w:basedOn w:val="a"/>
    <w:rsid w:val="004E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x2">
    <w:name w:val="ptx2"/>
    <w:basedOn w:val="a"/>
    <w:rsid w:val="004E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2150</Words>
  <Characters>12257</Characters>
  <Application>Microsoft Office Word</Application>
  <DocSecurity>0</DocSecurity>
  <Lines>102</Lines>
  <Paragraphs>28</Paragraphs>
  <ScaleCrop>false</ScaleCrop>
  <Company>ООО "Биолит"</Company>
  <LinksUpToDate>false</LinksUpToDate>
  <CharactersWithSpaces>14379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Александр</dc:creator>
  <cp:keywords/>
  <dc:description/>
  <cp:lastModifiedBy>Александр И.</cp:lastModifiedBy>
  <cp:revision>3</cp:revision>
  <dcterms:created xsi:type="dcterms:W3CDTF">2016-11-18T04:24:00Z</dcterms:created>
  <dcterms:modified xsi:type="dcterms:W3CDTF">2020-04-27T09:43:00Z</dcterms:modified>
</cp:coreProperties>
</file>